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2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91"/>
        <w:gridCol w:w="702"/>
        <w:gridCol w:w="27"/>
        <w:gridCol w:w="103"/>
        <w:gridCol w:w="1431"/>
        <w:gridCol w:w="1609"/>
        <w:gridCol w:w="987"/>
        <w:gridCol w:w="20"/>
        <w:gridCol w:w="677"/>
        <w:gridCol w:w="1120"/>
        <w:gridCol w:w="265"/>
        <w:gridCol w:w="391"/>
        <w:gridCol w:w="183"/>
        <w:gridCol w:w="57"/>
        <w:gridCol w:w="1516"/>
        <w:gridCol w:w="11"/>
        <w:gridCol w:w="29"/>
      </w:tblGrid>
      <w:tr w:rsidR="00157DBA" w:rsidRPr="0055788B" w:rsidTr="007407EC">
        <w:trPr>
          <w:gridAfter w:val="2"/>
          <w:wAfter w:w="40" w:type="dxa"/>
          <w:trHeight w:val="289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  <w:hideMark/>
          </w:tcPr>
          <w:p w:rsidR="00157DBA" w:rsidRPr="0055788B" w:rsidRDefault="00CB120D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0F70CBAF">
                  <wp:extent cx="658495" cy="92646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256" w:type="dxa"/>
            <w:gridSpan w:val="11"/>
            <w:vMerge w:val="restart"/>
          </w:tcPr>
          <w:p w:rsidR="007407EC" w:rsidRDefault="00CB120D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57DBA"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57DBA" w:rsidRPr="007407EC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407E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57DBA" w:rsidRPr="0055788B" w:rsidRDefault="00157DBA" w:rsidP="007407E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157DBA" w:rsidRPr="00843C22" w:rsidRDefault="00C23D78" w:rsidP="007407E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5E0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E0AE8" w:rsidRPr="005E0AE8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6D0AE9C7" wp14:editId="56B771F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7DBA" w:rsidRP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57DBA" w:rsidRPr="0055788B" w:rsidRDefault="00CB120D" w:rsidP="007407E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157DBA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57DBA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157DBA" w:rsidRPr="0055788B" w:rsidRDefault="00157DBA" w:rsidP="007407E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gridAfter w:val="2"/>
          <w:wAfter w:w="40" w:type="dxa"/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56" w:type="dxa"/>
            <w:gridSpan w:val="11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gridAfter w:val="2"/>
          <w:wAfter w:w="40" w:type="dxa"/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56" w:type="dxa"/>
            <w:gridSpan w:val="11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708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7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2"/>
            </w:tblGrid>
            <w:tr w:rsidR="00157DBA" w:rsidRPr="0055788B" w:rsidTr="007407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E0AE8" w:rsidRDefault="00157DBA" w:rsidP="007407E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</w:p>
                <w:p w:rsidR="00157DBA" w:rsidRPr="0055788B" w:rsidRDefault="005E0AE8" w:rsidP="007407E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E0AE8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0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57DBA" w:rsidRPr="0055788B" w:rsidTr="007407E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57020A" w:rsidP="005E0AE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ОД</w:t>
                  </w: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.13 БИОЛОГИЯ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24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500"/>
        </w:trPr>
        <w:tc>
          <w:tcPr>
            <w:tcW w:w="1063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55788B" w:rsidTr="007407E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157DBA" w:rsidRPr="0055788B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306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gridSpan w:val="2"/>
          </w:tcPr>
          <w:p w:rsidR="00157DBA" w:rsidRPr="0055788B" w:rsidRDefault="00157DBA" w:rsidP="00740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500"/>
        </w:trPr>
        <w:tc>
          <w:tcPr>
            <w:tcW w:w="1063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55788B" w:rsidTr="007407E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Pr="007407EC" w:rsidRDefault="005E0AE8" w:rsidP="007407E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38.02.05 Товароведение и экспертиза качества потребительских товаров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0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57DBA" w:rsidRPr="0055788B" w:rsidTr="007407E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к</w:t>
                  </w:r>
                  <w:r w:rsidR="00157DBA" w:rsidRPr="0017024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157DBA" w:rsidRPr="001702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:</w:t>
                  </w:r>
                  <w:r w:rsidR="00157DBA" w:rsidRPr="0017024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407EC" w:rsidRPr="0017024B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57DBA" w:rsidRPr="0055788B" w:rsidRDefault="005E0AE8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Товаровед-эксперт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1100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266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hideMark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EC" w:rsidRDefault="007407E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EC" w:rsidRDefault="007407E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EC" w:rsidRPr="0055788B" w:rsidRDefault="007407E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9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9"/>
            </w:tblGrid>
            <w:tr w:rsidR="00157DBA" w:rsidRPr="0055788B" w:rsidTr="007407E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57D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Новос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ибирск</w:t>
                  </w:r>
                  <w:proofErr w:type="spellEnd"/>
                </w:p>
                <w:p w:rsidR="00157DBA" w:rsidRPr="0055788B" w:rsidRDefault="00157DBA" w:rsidP="00CB120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CB12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157DBA" w:rsidRPr="0055788B" w:rsidRDefault="00157DBA" w:rsidP="00157DBA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068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430"/>
        <w:gridCol w:w="142"/>
        <w:gridCol w:w="20"/>
        <w:gridCol w:w="124"/>
      </w:tblGrid>
      <w:tr w:rsidR="00157DBA" w:rsidRPr="0055788B" w:rsidTr="005E0AE8">
        <w:trPr>
          <w:gridBefore w:val="1"/>
          <w:wBefore w:w="425" w:type="dxa"/>
          <w:trHeight w:val="179"/>
        </w:trPr>
        <w:tc>
          <w:tcPr>
            <w:tcW w:w="2122" w:type="dxa"/>
            <w:gridSpan w:val="7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13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157DBA" w:rsidRPr="0055788B" w:rsidTr="005E0AE8">
        <w:trPr>
          <w:gridAfter w:val="3"/>
          <w:wAfter w:w="286" w:type="dxa"/>
          <w:trHeight w:val="425"/>
        </w:trPr>
        <w:tc>
          <w:tcPr>
            <w:tcW w:w="9782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4F5E3D" w:rsidP="0057020A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Рабочая программа </w:t>
                  </w:r>
                  <w:r w:rsidR="005E0AE8" w:rsidRPr="005E0A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общеобразовательной</w:t>
                  </w:r>
                  <w:r w:rsidR="005E0AE8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="00157DBA" w:rsidRPr="007407E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157DBA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157DBA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157DBA"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Федерального государственного образовательного </w:t>
                  </w:r>
                  <w:r w:rsidR="00157DBA" w:rsidRPr="005E0A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стандарта по специальности </w:t>
                  </w:r>
                  <w:r w:rsidR="005E0AE8" w:rsidRPr="005E0AE8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38.02.05  </w:t>
                  </w:r>
                  <w:r w:rsidR="005E0AE8" w:rsidRPr="005E0A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Товароведение и экспертиза качества потребительских товаров</w:t>
                  </w:r>
                  <w:r w:rsidR="005E0A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157DBA" w:rsidRPr="005E0A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="00157DBA" w:rsidRPr="005E0A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157DBA" w:rsidRPr="005E0A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5E0AE8" w:rsidRPr="005E0A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28 июля 2014 № 835.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5E0AE8">
        <w:trPr>
          <w:gridAfter w:val="1"/>
          <w:wAfter w:w="124" w:type="dxa"/>
          <w:trHeight w:val="28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5E0AE8">
        <w:trPr>
          <w:gridAfter w:val="1"/>
          <w:wAfter w:w="124" w:type="dxa"/>
          <w:trHeight w:val="425"/>
        </w:trPr>
        <w:tc>
          <w:tcPr>
            <w:tcW w:w="9352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157DBA" w:rsidRPr="0055788B" w:rsidTr="007407EC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57DBA" w:rsidRPr="005E0AE8" w:rsidRDefault="00157DBA" w:rsidP="005E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доцент, доцент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5E0AE8" w:rsidRPr="005E0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               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57DBA" w:rsidRPr="0055788B" w:rsidTr="007407EC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5E0AE8">
        <w:trPr>
          <w:gridAfter w:val="1"/>
          <w:wAfter w:w="124" w:type="dxa"/>
          <w:trHeight w:val="425"/>
        </w:trPr>
        <w:tc>
          <w:tcPr>
            <w:tcW w:w="1981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57DBA" w:rsidRPr="0055788B" w:rsidTr="007407E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5E0AE8">
        <w:trPr>
          <w:gridAfter w:val="3"/>
          <w:wAfter w:w="286" w:type="dxa"/>
          <w:trHeight w:val="425"/>
        </w:trPr>
        <w:tc>
          <w:tcPr>
            <w:tcW w:w="9782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E0AE8" w:rsidRPr="005E0AE8" w:rsidRDefault="00157DBA" w:rsidP="005E0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5E0AE8" w:rsidRPr="005E0A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</w:t>
                  </w:r>
                </w:p>
                <w:p w:rsidR="005E0AE8" w:rsidRPr="00C23D78" w:rsidRDefault="005E0AE8" w:rsidP="005E0AE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0A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безопасности жизнедеятельности                     </w:t>
                  </w:r>
                </w:p>
                <w:p w:rsidR="00157DBA" w:rsidRPr="0055788B" w:rsidRDefault="00157DBA" w:rsidP="007407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5E0AE8">
        <w:trPr>
          <w:gridAfter w:val="3"/>
          <w:wAfter w:w="286" w:type="dxa"/>
          <w:trHeight w:val="425"/>
        </w:trPr>
        <w:tc>
          <w:tcPr>
            <w:tcW w:w="9782" w:type="dxa"/>
            <w:gridSpan w:val="21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5E0AE8">
        <w:trPr>
          <w:gridAfter w:val="1"/>
          <w:wAfter w:w="124" w:type="dxa"/>
          <w:trHeight w:val="10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Pr="0055788B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572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5E0AE8">
        <w:trPr>
          <w:gridAfter w:val="3"/>
          <w:wAfter w:w="286" w:type="dxa"/>
          <w:trHeight w:val="425"/>
        </w:trPr>
        <w:tc>
          <w:tcPr>
            <w:tcW w:w="9782" w:type="dxa"/>
            <w:gridSpan w:val="21"/>
            <w:hideMark/>
          </w:tcPr>
          <w:p w:rsidR="00157DBA" w:rsidRPr="005E0AE8" w:rsidRDefault="00157DBA" w:rsidP="00CB1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E0AE8" w:rsidRPr="005E0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5E0A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7407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5E0AE8" w:rsidRPr="005E0AE8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</w:t>
            </w:r>
            <w:r w:rsidR="005E0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езопасности жизнедеятельности, протокол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B120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120D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5E0AE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CB120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9B47B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7DBA" w:rsidRPr="0055788B" w:rsidTr="005E0AE8">
        <w:trPr>
          <w:gridAfter w:val="3"/>
          <w:wAfter w:w="286" w:type="dxa"/>
          <w:trHeight w:val="425"/>
        </w:trPr>
        <w:tc>
          <w:tcPr>
            <w:tcW w:w="9782" w:type="dxa"/>
            <w:gridSpan w:val="21"/>
            <w:hideMark/>
          </w:tcPr>
          <w:p w:rsidR="00157DBA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407EC" w:rsidRPr="0055788B" w:rsidRDefault="007407EC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5E0AE8">
        <w:trPr>
          <w:gridAfter w:val="3"/>
          <w:wAfter w:w="286" w:type="dxa"/>
          <w:trHeight w:val="425"/>
        </w:trPr>
        <w:tc>
          <w:tcPr>
            <w:tcW w:w="9782" w:type="dxa"/>
            <w:gridSpan w:val="21"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5E0AE8" w:rsidRPr="005E0AE8" w:rsidRDefault="005E0AE8" w:rsidP="005E0A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E0A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</w:t>
                  </w:r>
                </w:p>
                <w:p w:rsidR="00C23D78" w:rsidRPr="00C23D78" w:rsidRDefault="005E0AE8" w:rsidP="005E0AE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E0A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безопасности жизнедеятельности                     </w:t>
                  </w:r>
                </w:p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5E0AE8" w:rsidRPr="005E0AE8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232C8AF" wp14:editId="11499979">
                        <wp:extent cx="832485" cy="300355"/>
                        <wp:effectExtent l="0" t="0" r="5715" b="444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07EC" w:rsidRPr="005C5BA7" w:rsidRDefault="00157DBA" w:rsidP="004F5E3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br w:type="page"/>
      </w:r>
      <w:r w:rsidR="00C2259E"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C2259E" w:rsidRDefault="0057020A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</w:p>
    <w:p w:rsidR="00C2259E" w:rsidRPr="00C2259E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общеобразовательной дисциплины «Биология»</w:t>
      </w:r>
    </w:p>
    <w:p w:rsidR="00C2259E" w:rsidRPr="00C2259E" w:rsidRDefault="0057020A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5E0AE8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E0AE8">
        <w:rPr>
          <w:sz w:val="28"/>
          <w:szCs w:val="28"/>
        </w:rPr>
        <w:t xml:space="preserve">4. </w:t>
      </w: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5E0AE8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ИКА РАБОЧЕЙ ПРОГРАММЫ 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157DBA">
        <w:rPr>
          <w:rFonts w:ascii="Times New Roman" w:hAnsi="Times New Roman" w:cs="Times New Roman"/>
          <w:sz w:val="28"/>
          <w:szCs w:val="28"/>
        </w:rPr>
        <w:t>«</w:t>
      </w:r>
      <w:r w:rsidR="00157DBA" w:rsidRPr="00157DBA"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Pr="00157DBA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5E0AE8">
        <w:rPr>
          <w:rFonts w:ascii="Times New Roman" w:hAnsi="Times New Roman" w:cs="Times New Roman"/>
          <w:sz w:val="28"/>
          <w:szCs w:val="28"/>
        </w:rPr>
        <w:t>О</w:t>
      </w:r>
      <w:r w:rsidRPr="009B5668">
        <w:rPr>
          <w:rFonts w:ascii="Times New Roman" w:hAnsi="Times New Roman" w:cs="Times New Roman"/>
          <w:sz w:val="28"/>
          <w:szCs w:val="28"/>
        </w:rPr>
        <w:t xml:space="preserve">Д.13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5E0AE8">
        <w:rPr>
          <w:rFonts w:ascii="Times New Roman" w:hAnsi="Times New Roman" w:cs="Times New Roman"/>
          <w:sz w:val="28"/>
          <w:szCs w:val="28"/>
        </w:rPr>
        <w:t>38.02.05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9B47B1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9B47B1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5E0AE8">
        <w:rPr>
          <w:rFonts w:ascii="Times New Roman" w:hAnsi="Times New Roman" w:cs="Times New Roman"/>
          <w:sz w:val="28"/>
          <w:szCs w:val="28"/>
        </w:rPr>
        <w:t>38.02.05</w:t>
      </w:r>
      <w:r w:rsidR="005E0AE8" w:rsidRPr="005E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Товароведение и экспертиза качества потребительских товаров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способность их использования в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учения Н.И. Вавилова - о Центрах многообразия и происхождения культурных растений, А.Н. Северцова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гипотезы (коацерватная А.И. Опарина, первичного бульона Дж. Холдейна, микросфер С. Фокса, рибозима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искусственное 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7407E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  <w:r w:rsid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7407E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симпатрического видообразования; влияния движущих сил эволюции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5551BD" w:rsidP="005551B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т.ч.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7407EC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7407EC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5551BD" w:rsidRPr="00765B25" w:rsidTr="007407EC">
        <w:trPr>
          <w:trHeight w:hRule="exact" w:val="828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7407EC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683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407EC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A45" w:rsidRDefault="005551BD" w:rsidP="001F462F">
      <w:pPr>
        <w:jc w:val="center"/>
        <w:rPr>
          <w:rFonts w:ascii="Times New Roman" w:hAnsi="Times New Roman" w:cs="Times New Roman"/>
          <w:sz w:val="28"/>
          <w:szCs w:val="28"/>
        </w:rPr>
        <w:sectPr w:rsidR="009B4A45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1F462F" w:rsidRDefault="001F462F" w:rsidP="001F462F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1F462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1F462F" w:rsidRPr="001F462F" w:rsidTr="009B4A45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Разнообразие биосистем. Организация биологических систем. Уровни организации биосистем: молекулярно генетический, органоидно-клеточный, организменный, популяционно-видовой, экосистемный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белков, углеводов и жиров в организме человека. Витамины и биологически активные добавки, их значение в жизни организма человека. Гип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Клеточная теория (Т. Шванн, М. Шлейден, Р. Вирхов). Основные положения современной клеточной теории. Типы клеток: эукариотическая и прокариотическая. Сравнительная характеристика клеток эукариот 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Цитоплазма. Цитозоль. Цитоскелет. Одномембранные органоиды клетки: эндоплазматическая сеть (ЭПС), аппарат Гольджи, лизосомы, пероксисомы, вакуоли растительных клеток. Строение и функции одномембранных органоидов клетки. Клеточный сок. Тургор.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Немембранные органоиды клетки: рибосомы, микротрубочки, 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немембранных органоидов клетки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деплазмолиз)»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3 Структурно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 факторы наследственности. Процессы матричного синтеза Неклеточные РНК-и ДНК-содержащие формы жизни</w:t>
            </w:r>
          </w:p>
          <w:p w:rsidR="001F462F" w:rsidRPr="001F462F" w:rsidRDefault="001F462F" w:rsidP="001F462F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Чаргаффа.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Матричный синтез ДНК - репликация. Принципы репликации ДНК. Механизм репликации ДНК. Репарация ДНК (дореплекативная, постреплекативная). Реакции матричного синтеза. Принцип комплементарности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Вирусы -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4D6D6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1F462F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6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Гомозигота и гетерозигота. Чистая линия. Гибриды. Основные методы генетики: гибридологический, цитологические, молекулярн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скрещивание. Закон независимого наследования признаков. Полигибридное наследование и его закономерности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Генотип как целостная система. Множественное действие генов. Плейотропия. Множественный аллелизм. Взаимодействие аллельных генов. Кодоминирование. Взаимодействие неаллельных генов. Комплементарность. Эпистаз. Полимерия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Законы Т. Моргана. Сцепленное наследование генов, нарушение сцепления. Хромосомная теория наследственности. Генетическое картирование хромосом.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Модификационная,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ромосомные, геномные. Причины возникновения мутаций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Селекция как наука. Методы селекционной работы. Гетерозис и его причины. Искусственный отбор: массовый и индивидуальный. 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омбинационн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селекци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Сорт, порода, штамм</w:t>
            </w:r>
          </w:p>
          <w:p w:rsidR="001F462F" w:rsidRPr="001F462F" w:rsidRDefault="006E6F9C" w:rsidP="006E6F9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Применение данных, которые может предоставить генетика (группы крови, наследование различных признаков, ДНК-экспертиза) в правоохранительной деятельности. 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F9C" w:rsidRDefault="006E6F9C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генетической информации (с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оставление генотипических схем скрещивания, решение задач на определение вероятности возникновения 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наследственных признаков при мон</w:t>
            </w:r>
            <w:proofErr w:type="gramStart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ди-,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 и умения с ней работать для решения профессиональных задач в правоохранительной деятельности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эволюционного учения Микроэволюция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Первые эволюционные концепции. Градуалистическая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Северцов).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Бэра). Биогенетический закон (Э. Геккель, Ф. Мюллер). Общие закономерности (правила)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 - наука о человеке. Систематическое положение человека. Сходство человека с животными. Отличия человека от животных. Прямохождение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 - предки человека и человекообразных обезьян. Протоантроп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факторы и среды жизни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Среды обитания организмов: водная, наземно-воздушная, почвенная, внутриорганизменная. Физико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5E0AE8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1F462F" w:rsidRPr="001F462F" w:rsidRDefault="001F462F" w:rsidP="00AA362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 w:rsidR="00AA362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0AE8" w:rsidRPr="001F462F" w:rsidTr="005E0AE8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5E0AE8" w:rsidRPr="001F462F" w:rsidRDefault="005E0AE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AE8" w:rsidRPr="001F462F" w:rsidRDefault="005E0AE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AE8" w:rsidRPr="005E0AE8" w:rsidRDefault="005E0AE8" w:rsidP="005E0AE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E0AE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AE8" w:rsidRPr="001F462F" w:rsidRDefault="005E0AE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0AE8" w:rsidRPr="001F462F" w:rsidTr="00366195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5E0AE8" w:rsidRPr="001F462F" w:rsidRDefault="005E0AE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0AE8" w:rsidRPr="001F462F" w:rsidRDefault="005E0AE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E0AE8">
              <w:rPr>
                <w:rFonts w:ascii="Times New Roman" w:eastAsia="Trebuchet MS" w:hAnsi="Times New Roman" w:cs="Times New Roman"/>
                <w:sz w:val="28"/>
                <w:szCs w:val="28"/>
              </w:rPr>
              <w:t>Итоговая аттестация по дисциплине (</w:t>
            </w:r>
            <w:r>
              <w:rPr>
                <w:rFonts w:ascii="Times New Roman" w:eastAsia="Trebuchet MS" w:hAnsi="Times New Roman" w:cs="Times New Roman"/>
                <w:sz w:val="28"/>
                <w:szCs w:val="28"/>
              </w:rPr>
              <w:t>дифференцированный зачет</w:t>
            </w:r>
            <w:r w:rsidRPr="005E0AE8">
              <w:rPr>
                <w:rFonts w:ascii="Times New Roman" w:eastAsia="Trebuchet MS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AE8" w:rsidRPr="005E0AE8" w:rsidRDefault="005E0AE8" w:rsidP="005E0AE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AE8" w:rsidRPr="001F462F" w:rsidRDefault="005E0AE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66195" w:rsidRPr="001F462F" w:rsidTr="0024097D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366195" w:rsidRPr="001F462F" w:rsidRDefault="00366195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195" w:rsidRPr="005E0AE8" w:rsidRDefault="00366195" w:rsidP="001F462F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366195">
              <w:rPr>
                <w:rFonts w:ascii="Times New Roman" w:eastAsia="Trebuchet MS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195" w:rsidRPr="005E0AE8" w:rsidRDefault="00366195" w:rsidP="005E0AE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195" w:rsidRPr="001F462F" w:rsidRDefault="00366195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66195" w:rsidRDefault="00366195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366195" w:rsidSect="009B4A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4A45" w:rsidRDefault="009B4A45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9B4A45" w:rsidSect="00366195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5551BD" w:rsidRPr="005551BD" w:rsidRDefault="00366195" w:rsidP="00366195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0B7E19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E19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0B7E19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0B7E19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407EC" w:rsidRPr="000B7E19" w:rsidRDefault="005551BD" w:rsidP="000B7E19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B7E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CB120D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CB120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20D" w:rsidRPr="00C54F03" w:rsidRDefault="00CB120D" w:rsidP="005702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CB120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20D" w:rsidRPr="00C54F03" w:rsidRDefault="00CB120D" w:rsidP="005702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CB120D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120D" w:rsidRPr="00C54F03" w:rsidRDefault="00CB120D" w:rsidP="00CB120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CB120D" w:rsidRPr="00C54F03" w:rsidRDefault="00CB120D" w:rsidP="00CB120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Википедия: www.wikipedia.ru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био-: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Windows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Word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Office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Microsoft Power Point,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366195" w:rsidRPr="00366195" w:rsidRDefault="00366195" w:rsidP="0036619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3661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366195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407EC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Default="007407EC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описанием методов микроскопирования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«Строение клетки (растения, животные, грибы) и клеточные включения (крахмал, каротиноиды,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«Проницаемость мембраны (плазмолиз, деплазмолиз)»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2177DB" w:rsidRDefault="007407EC" w:rsidP="007407E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62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ди-,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</w:t>
            </w:r>
            <w:r w:rsidR="00DA3D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задач 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F775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0B7E19"/>
    <w:rsid w:val="0010353F"/>
    <w:rsid w:val="00157DBA"/>
    <w:rsid w:val="00165D63"/>
    <w:rsid w:val="0017024B"/>
    <w:rsid w:val="001D6291"/>
    <w:rsid w:val="001F462F"/>
    <w:rsid w:val="0024097D"/>
    <w:rsid w:val="002B0D71"/>
    <w:rsid w:val="00366195"/>
    <w:rsid w:val="004620DE"/>
    <w:rsid w:val="004D6D6C"/>
    <w:rsid w:val="004F5E3D"/>
    <w:rsid w:val="0054241B"/>
    <w:rsid w:val="005477CE"/>
    <w:rsid w:val="005551BD"/>
    <w:rsid w:val="0057020A"/>
    <w:rsid w:val="005C5BA7"/>
    <w:rsid w:val="005E0AE8"/>
    <w:rsid w:val="006E6F9C"/>
    <w:rsid w:val="007407EC"/>
    <w:rsid w:val="00765B25"/>
    <w:rsid w:val="00843C22"/>
    <w:rsid w:val="009414F9"/>
    <w:rsid w:val="00966B6E"/>
    <w:rsid w:val="009B47B1"/>
    <w:rsid w:val="009B4A45"/>
    <w:rsid w:val="00AA3621"/>
    <w:rsid w:val="00AA4B33"/>
    <w:rsid w:val="00B109BC"/>
    <w:rsid w:val="00B258AB"/>
    <w:rsid w:val="00C2259E"/>
    <w:rsid w:val="00C23D78"/>
    <w:rsid w:val="00CB120D"/>
    <w:rsid w:val="00DA3D94"/>
    <w:rsid w:val="00E732B4"/>
    <w:rsid w:val="00F510FD"/>
    <w:rsid w:val="00F775B9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C7EA-67AB-455B-8CBB-B4E1E43E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32</Pages>
  <Words>6705</Words>
  <Characters>38222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24</cp:revision>
  <dcterms:created xsi:type="dcterms:W3CDTF">2023-06-16T09:36:00Z</dcterms:created>
  <dcterms:modified xsi:type="dcterms:W3CDTF">2025-08-06T06:08:00Z</dcterms:modified>
</cp:coreProperties>
</file>